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6A5B" w:rsidR="00306A5B" w:rsidP="00306A5B" w:rsidRDefault="00306A5B" w14:paraId="27299138" w14:textId="77777777">
      <w:pPr>
        <w:pStyle w:val="paragraph"/>
        <w:spacing w:after="0"/>
        <w:textAlignment w:val="baseline"/>
        <w:rPr>
          <w:rStyle w:val="normaltextrun"/>
          <w:rFonts w:asciiTheme="minorHAnsi" w:hAnsiTheme="minorHAnsi" w:eastAsiaTheme="minorEastAsia" w:cstheme="minorBidi"/>
          <w:b/>
          <w:bCs/>
          <w:color w:val="000000" w:themeColor="text1"/>
          <w:sz w:val="22"/>
          <w:szCs w:val="22"/>
        </w:rPr>
      </w:pPr>
    </w:p>
    <w:p w:rsidR="1B29677D" w:rsidP="1B29677D" w:rsidRDefault="1B29677D" w14:paraId="54E6F82C" w14:textId="10E17F44">
      <w:pPr>
        <w:pStyle w:val="paragraph"/>
        <w:spacing w:before="0" w:beforeAutospacing="off" w:after="0" w:afterAutospacing="off"/>
        <w:rPr>
          <w:noProof w:val="0"/>
          <w:lang w:val="en-US"/>
        </w:rPr>
      </w:pPr>
      <w:r w:rsidRPr="1B29677D" w:rsidR="1B29677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The Apocalypse of St. John</w:t>
      </w:r>
    </w:p>
    <w:p w:rsidR="00306A5B" w:rsidP="00306A5B" w:rsidRDefault="00306A5B" w14:paraId="3DB534AB" w14:textId="77777777">
      <w:pPr>
        <w:pStyle w:val="paragraph"/>
        <w:spacing w:before="0" w:beforeAutospacing="0" w:after="0" w:afterAutospacing="0"/>
        <w:textAlignment w:val="baseline"/>
        <w:rPr>
          <w:rStyle w:val="normaltextrun"/>
          <w:rFonts w:asciiTheme="minorHAnsi" w:hAnsiTheme="minorHAnsi" w:eastAsiaTheme="minorEastAsia" w:cstheme="minorBidi"/>
          <w:b/>
          <w:bCs/>
          <w:color w:val="000000" w:themeColor="text1"/>
          <w:sz w:val="22"/>
          <w:szCs w:val="22"/>
          <w:u w:val="single"/>
        </w:rPr>
      </w:pPr>
    </w:p>
    <w:p w:rsidR="005D6A6B" w:rsidP="336EFAD4" w:rsidRDefault="336EFAD4" w14:paraId="4D796197" w14:textId="34FB56C2">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336EFAD4">
        <w:rPr>
          <w:rStyle w:val="normaltextrun"/>
          <w:rFonts w:asciiTheme="minorHAnsi" w:hAnsiTheme="minorHAnsi" w:eastAsiaTheme="minorEastAsia" w:cstheme="minorBidi"/>
          <w:b/>
          <w:bCs/>
          <w:color w:val="000000" w:themeColor="text1"/>
          <w:sz w:val="22"/>
          <w:szCs w:val="22"/>
          <w:u w:val="single"/>
        </w:rPr>
        <w:t>Overview</w:t>
      </w:r>
      <w:r w:rsidRPr="336EFAD4">
        <w:rPr>
          <w:rStyle w:val="eop"/>
          <w:rFonts w:asciiTheme="minorHAnsi" w:hAnsiTheme="minorHAnsi" w:eastAsiaTheme="minorEastAsia" w:cstheme="minorBidi"/>
          <w:color w:val="000000" w:themeColor="text1"/>
          <w:sz w:val="22"/>
          <w:szCs w:val="22"/>
        </w:rPr>
        <w:t> </w:t>
      </w:r>
    </w:p>
    <w:p w:rsidR="33A38A4B" w:rsidP="33A38A4B" w:rsidRDefault="33A38A4B" w14:paraId="36B0C6E3" w14:textId="6A365CFC">
      <w:pPr>
        <w:pStyle w:val="paragraph"/>
        <w:numPr>
          <w:ilvl w:val="0"/>
          <w:numId w:val="1"/>
        </w:numPr>
        <w:spacing w:before="0" w:beforeAutospacing="off" w:after="0" w:afterAutospacing="off"/>
        <w:ind w:left="1080" w:firstLine="0"/>
        <w:rPr>
          <w:noProof w:val="0"/>
          <w:lang w:val="en-US"/>
        </w:rPr>
      </w:pPr>
      <w:r w:rsidRPr="33A38A4B" w:rsidR="33A38A4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Director:</w:t>
      </w:r>
      <w:r w:rsidRPr="33A38A4B" w:rsidR="33A38A4B">
        <w:rPr>
          <w:rStyle w:val="eop"/>
          <w:rFonts w:ascii="Calibri" w:hAnsi="Calibri" w:eastAsia="" w:cs="" w:asciiTheme="minorAscii" w:hAnsiTheme="minorAscii" w:eastAsiaTheme="minorEastAsia" w:cstheme="minorBidi"/>
          <w:color w:val="000000" w:themeColor="text1" w:themeTint="FF" w:themeShade="FF"/>
          <w:sz w:val="22"/>
          <w:szCs w:val="22"/>
        </w:rPr>
        <w:t xml:space="preserve"> </w:t>
      </w:r>
      <w:hyperlink r:id="Rb558e8f31beb42e2">
        <w:r w:rsidRPr="33A38A4B" w:rsidR="33A38A4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2"/>
            <w:szCs w:val="22"/>
            <w:lang w:val="en-US" w:eastAsia="en-US" w:bidi="ar-SA"/>
          </w:rPr>
          <w:t>Simón Delacre</w:t>
        </w:r>
      </w:hyperlink>
    </w:p>
    <w:p w:rsidR="004100A0" w:rsidP="33A38A4B" w:rsidRDefault="346B002E" w14:paraId="065EB9BA" w14:textId="2CDEA160">
      <w:pPr>
        <w:pStyle w:val="paragraph"/>
        <w:numPr>
          <w:ilvl w:val="0"/>
          <w:numId w:val="2"/>
        </w:numPr>
        <w:spacing w:before="0" w:beforeAutospacing="off" w:after="0" w:afterAutospacing="off"/>
        <w:ind w:left="1080" w:firstLine="0"/>
        <w:textAlignment w:val="baseline"/>
        <w:rPr>
          <w:noProof w:val="0"/>
          <w:lang w:val="en-US"/>
        </w:rPr>
      </w:pPr>
      <w:r w:rsidRPr="33A38A4B" w:rsidR="33A38A4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Writer:</w:t>
      </w:r>
      <w:r w:rsidRPr="33A38A4B" w:rsidR="33A38A4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hyperlink r:id="Rf23c0bb5b0f14190">
        <w:r w:rsidRPr="33A38A4B" w:rsidR="33A38A4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2"/>
            <w:szCs w:val="22"/>
            <w:lang w:val="en-US" w:eastAsia="en-US" w:bidi="ar-SA"/>
          </w:rPr>
          <w:t>Simón Delacre</w:t>
        </w:r>
      </w:hyperlink>
    </w:p>
    <w:p w:rsidRPr="004100A0" w:rsidR="005D6A6B" w:rsidP="33A38A4B" w:rsidRDefault="346B002E" w14:paraId="44696650" w14:textId="6EB5D29C">
      <w:pPr>
        <w:pStyle w:val="paragraph"/>
        <w:numPr>
          <w:ilvl w:val="0"/>
          <w:numId w:val="2"/>
        </w:numPr>
        <w:spacing w:before="0" w:beforeAutospacing="off" w:after="0" w:afterAutospacing="off"/>
        <w:ind w:left="1080" w:firstLine="0"/>
        <w:textAlignment w:val="baseline"/>
        <w:rPr>
          <w:noProof w:val="0"/>
          <w:lang w:val="en-US"/>
        </w:rPr>
      </w:pPr>
      <w:r w:rsidRPr="33A38A4B" w:rsidR="33A38A4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 xml:space="preserve">Production Company/Studio: </w:t>
      </w:r>
      <w:r w:rsidRPr="33A38A4B" w:rsidR="33A38A4B">
        <w:rPr>
          <w:rFonts w:ascii="Calibri" w:hAnsi="Calibri" w:eastAsia="Calibri" w:cs="Calibri"/>
          <w:b w:val="0"/>
          <w:bCs w:val="0"/>
          <w:i w:val="0"/>
          <w:iCs w:val="0"/>
          <w:caps w:val="0"/>
          <w:smallCaps w:val="0"/>
          <w:noProof w:val="0"/>
          <w:color w:val="000000" w:themeColor="text1" w:themeTint="FF" w:themeShade="FF"/>
          <w:sz w:val="22"/>
          <w:szCs w:val="22"/>
          <w:lang w:val="en-US"/>
        </w:rPr>
        <w:t>Pascendi Foundation / Caravel Films</w:t>
      </w:r>
    </w:p>
    <w:p w:rsidR="33A38A4B" w:rsidP="33A38A4B" w:rsidRDefault="33A38A4B" w14:paraId="045E721C" w14:textId="390B091E">
      <w:pPr>
        <w:pStyle w:val="paragraph"/>
        <w:numPr>
          <w:ilvl w:val="0"/>
          <w:numId w:val="2"/>
        </w:numPr>
        <w:spacing w:after="0"/>
        <w:rPr>
          <w:rFonts w:ascii="Calibri" w:hAnsi="Calibri" w:eastAsia="Calibri" w:cs="Calibri"/>
          <w:b w:val="0"/>
          <w:bCs w:val="0"/>
          <w:i w:val="0"/>
          <w:iCs w:val="0"/>
          <w:caps w:val="0"/>
          <w:smallCaps w:val="0"/>
          <w:color w:val="000000" w:themeColor="text1" w:themeTint="FF" w:themeShade="FF"/>
          <w:sz w:val="22"/>
          <w:szCs w:val="22"/>
        </w:rPr>
      </w:pPr>
      <w:r w:rsidRPr="33A38A4B" w:rsidR="33A38A4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Cast (max of 10):</w:t>
      </w:r>
      <w:r w:rsidRPr="33A38A4B" w:rsidR="33A38A4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r w:rsidRPr="33A38A4B" w:rsidR="33A38A4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2"/>
          <w:szCs w:val="22"/>
          <w:lang w:val="en-US" w:eastAsia="en-US" w:bidi="ar-SA"/>
        </w:rPr>
        <w:t>Ricardo Castro,</w:t>
      </w:r>
      <w:r w:rsidRPr="33A38A4B" w:rsidR="33A38A4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hyperlink r:id="R451f2444cb4349e4">
        <w:r w:rsidRPr="33A38A4B" w:rsidR="33A38A4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2"/>
            <w:szCs w:val="22"/>
            <w:lang w:val="en-US" w:eastAsia="en-US" w:bidi="ar-SA"/>
          </w:rPr>
          <w:t>Miguel Angel Marchessi,</w:t>
        </w:r>
      </w:hyperlink>
      <w:r w:rsidRPr="33A38A4B" w:rsidR="33A38A4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w:t>
      </w:r>
      <w:hyperlink r:id="Rce18301ba8764f3e">
        <w:r w:rsidRPr="33A38A4B" w:rsidR="33A38A4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2"/>
            <w:szCs w:val="22"/>
            <w:lang w:val="en-US" w:eastAsia="en-US" w:bidi="ar-SA"/>
          </w:rPr>
          <w:t>Héctor Hugo Larriera</w:t>
        </w:r>
      </w:hyperlink>
    </w:p>
    <w:p w:rsidRPr="005B38D5" w:rsidR="005D6A6B" w:rsidP="33A38A4B" w:rsidRDefault="336EFAD4" w14:paraId="029D9D1B" w14:textId="11B55E98">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color w:val="000000" w:themeColor="text1"/>
          <w:sz w:val="22"/>
          <w:szCs w:val="22"/>
        </w:rPr>
      </w:pPr>
      <w:r w:rsidRPr="33A38A4B" w:rsidR="33A38A4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Release Date:</w:t>
      </w:r>
      <w:r w:rsidRPr="33A38A4B" w:rsidR="33A38A4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February 15-17</w:t>
      </w:r>
    </w:p>
    <w:p w:rsidRPr="005B38D5" w:rsidR="005D6A6B" w:rsidP="33A38A4B" w:rsidRDefault="346B002E" w14:paraId="73A0D698" w14:textId="1838F071">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color w:val="000000" w:themeColor="text1"/>
          <w:sz w:val="22"/>
          <w:szCs w:val="22"/>
        </w:rPr>
      </w:pPr>
      <w:r w:rsidRPr="4C70CFC8" w:rsidR="4C70CFC8">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Runtime:</w:t>
      </w:r>
      <w:r w:rsidRPr="4C70CFC8" w:rsidR="4C70CFC8">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2h 5min</w:t>
      </w:r>
    </w:p>
    <w:p w:rsidRPr="005D6A6B" w:rsidR="005D6A6B" w:rsidP="33A38A4B" w:rsidRDefault="346B002E" w14:paraId="7C55717D" w14:textId="77147A0A">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color w:val="000000" w:themeColor="text1"/>
          <w:sz w:val="22"/>
          <w:szCs w:val="22"/>
        </w:rPr>
      </w:pPr>
      <w:r w:rsidRPr="33A38A4B" w:rsidR="33A38A4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 xml:space="preserve">Rating: </w:t>
      </w:r>
      <w:r w:rsidRPr="33A38A4B" w:rsidR="33A38A4B">
        <w:rPr>
          <w:rStyle w:val="normaltextrun"/>
          <w:rFonts w:ascii="Calibri" w:hAnsi="Calibri" w:eastAsia="" w:cs="" w:asciiTheme="minorAscii" w:hAnsiTheme="minorAscii" w:eastAsiaTheme="minorEastAsia" w:cstheme="minorBidi"/>
          <w:b w:val="0"/>
          <w:bCs w:val="0"/>
          <w:i w:val="1"/>
          <w:iCs w:val="1"/>
          <w:color w:val="000000" w:themeColor="text1" w:themeTint="FF" w:themeShade="FF"/>
          <w:sz w:val="22"/>
          <w:szCs w:val="22"/>
        </w:rPr>
        <w:t>treat as PG-13</w:t>
      </w:r>
    </w:p>
    <w:p w:rsidRPr="005D6A6B" w:rsidR="005D6A6B" w:rsidP="336EFAD4" w:rsidRDefault="336EFAD4" w14:paraId="74EFCB4F" w14:textId="77777777">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336EFAD4">
        <w:rPr>
          <w:rStyle w:val="eop"/>
          <w:rFonts w:asciiTheme="minorHAnsi" w:hAnsiTheme="minorHAnsi" w:eastAsiaTheme="minorEastAsia" w:cstheme="minorBidi"/>
          <w:color w:val="000000" w:themeColor="text1"/>
          <w:sz w:val="22"/>
          <w:szCs w:val="22"/>
        </w:rPr>
        <w:t> </w:t>
      </w:r>
    </w:p>
    <w:p w:rsidRPr="005D6A6B" w:rsidR="005D6A6B" w:rsidP="346B002E" w:rsidRDefault="005D6A6B" w14:paraId="3AF41895" w14:textId="6C254CCC">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1B29677D">
        <w:rPr>
          <w:rStyle w:val="normaltextrun"/>
          <w:rFonts w:ascii="Calibri" w:hAnsi="Calibri" w:eastAsia="" w:cs="" w:asciiTheme="minorAscii" w:hAnsiTheme="minorAscii" w:eastAsiaTheme="minorEastAsia" w:cstheme="minorBidi"/>
          <w:b w:val="1"/>
          <w:bCs w:val="1"/>
          <w:color w:val="000000" w:themeColor="text1"/>
          <w:sz w:val="22"/>
          <w:szCs w:val="22"/>
          <w:u w:val="single"/>
        </w:rPr>
        <w:t>Short Synopsis</w:t>
      </w:r>
      <w:r w:rsidRPr="1B29677D">
        <w:rPr>
          <w:rStyle w:val="normaltextrun"/>
          <w:rFonts w:ascii="Calibri" w:hAnsi="Calibri" w:eastAsia="" w:cs="" w:asciiTheme="minorAscii" w:hAnsiTheme="minorAscii" w:eastAsiaTheme="minorEastAsia" w:cstheme="minorBidi"/>
          <w:b w:val="1"/>
          <w:bCs w:val="1"/>
          <w:color w:val="000000" w:themeColor="text1"/>
          <w:sz w:val="22"/>
          <w:szCs w:val="22"/>
        </w:rPr>
        <w:t xml:space="preserve"> </w:t>
      </w:r>
      <w:r w:rsidRPr="1B29677D">
        <w:rPr>
          <w:rStyle w:val="normaltextrun"/>
          <w:rFonts w:ascii="Calibri" w:hAnsi="Calibri" w:eastAsia="" w:cs="" w:asciiTheme="minorAscii" w:hAnsiTheme="minorAscii" w:eastAsiaTheme="minorEastAsia" w:cstheme="minorBidi"/>
          <w:i w:val="1"/>
          <w:iCs w:val="1"/>
          <w:color w:val="000000" w:themeColor="text1"/>
          <w:sz w:val="22"/>
          <w:szCs w:val="22"/>
        </w:rPr>
        <w:t>(250 characters): </w:t>
      </w:r>
      <w:r w:rsidRPr="1B29677D">
        <w:rPr>
          <w:rStyle w:val="normaltextrun"/>
          <w:rFonts w:ascii="Calibri" w:hAnsi="Calibri" w:eastAsia="" w:cs="" w:asciiTheme="minorAscii" w:hAnsiTheme="minorAscii" w:eastAsiaTheme="minorEastAsia" w:cstheme="minorBidi"/>
          <w:color w:val="000000" w:themeColor="text1"/>
          <w:sz w:val="22"/>
          <w:szCs w:val="22"/>
          <w:shd w:val="clear" w:color="auto" w:fill="FFFFFF"/>
        </w:rPr>
        <w:t xml:space="preserve"> </w:t>
      </w:r>
      <w:r w:rsidRPr="1B29677D">
        <w:rPr>
          <w:rFonts w:ascii="Calibri" w:hAnsi="Calibri" w:eastAsia="" w:cs="" w:asciiTheme="minorAscii" w:hAnsiTheme="minorAscii" w:eastAsiaTheme="minorEastAsia" w:cstheme="minorBidi"/>
          <w:color w:val="000000" w:themeColor="text1"/>
          <w:sz w:val="22"/>
          <w:szCs w:val="22"/>
        </w:rPr>
        <w:t> </w:t>
      </w:r>
    </w:p>
    <w:p w:rsidRPr="009D3B6A" w:rsidR="346B002E" w:rsidP="1B29677D" w:rsidRDefault="346B002E" w14:paraId="453F1C01" w14:textId="0AA5DA8A">
      <w:pPr>
        <w:pStyle w:val="xmsonormal"/>
        <w:spacing w:before="0" w:beforeAutospacing="0" w:after="0" w:afterAutospacing="0" w:line="360" w:lineRule="auto"/>
        <w:rPr>
          <w:noProof w:val="0"/>
          <w:lang w:val="en-US"/>
        </w:rPr>
      </w:pPr>
      <w:r w:rsidRPr="1B29677D" w:rsidR="1B29677D">
        <w:rPr>
          <w:rFonts w:ascii="Calibri" w:hAnsi="Calibri" w:eastAsia="Calibri" w:cs="Calibri"/>
          <w:b w:val="0"/>
          <w:bCs w:val="0"/>
          <w:i w:val="0"/>
          <w:iCs w:val="0"/>
          <w:caps w:val="0"/>
          <w:smallCaps w:val="0"/>
          <w:noProof w:val="0"/>
          <w:sz w:val="22"/>
          <w:szCs w:val="22"/>
          <w:lang w:val="en-US"/>
        </w:rPr>
        <w:t>A dramatic and visually stunning journey into the Book of Revelation. The Apocalypse of St. John brings the Apostle’s visions to life with immersive scenes and clear explanations, offering a powerful look at the prophecy and its meaning for our time.</w:t>
      </w:r>
    </w:p>
    <w:p w:rsidRPr="009D3B6A" w:rsidR="346B002E" w:rsidP="1B29677D" w:rsidRDefault="346B002E" w14:paraId="7204E4B0" w14:textId="2B451E40">
      <w:pPr>
        <w:pStyle w:val="paragraph"/>
        <w:spacing w:before="0" w:beforeAutospacing="off" w:after="0" w:afterAutospacing="off"/>
        <w:rPr>
          <w:rFonts w:ascii="Calibri" w:hAnsi="Calibri" w:eastAsia="" w:cs="" w:asciiTheme="minorAscii" w:hAnsiTheme="minorAscii" w:eastAsiaTheme="minorEastAsia" w:cstheme="minorBidi"/>
          <w:color w:val="000000" w:themeColor="text1"/>
          <w:sz w:val="22"/>
          <w:szCs w:val="22"/>
        </w:rPr>
      </w:pPr>
    </w:p>
    <w:p w:rsidR="009D3B6A" w:rsidP="346B002E" w:rsidRDefault="009D3B6A" w14:paraId="1378B546" w14:textId="18CEF0EF">
      <w:pPr>
        <w:pStyle w:val="paragraph"/>
        <w:spacing w:before="0" w:beforeAutospacing="0" w:after="0" w:afterAutospacing="0"/>
        <w:rPr>
          <w:rFonts w:asciiTheme="minorHAnsi" w:hAnsiTheme="minorHAnsi" w:eastAsiaTheme="minorEastAsia" w:cstheme="minorBidi"/>
          <w:color w:val="000000" w:themeColor="text1"/>
          <w:sz w:val="22"/>
          <w:szCs w:val="22"/>
        </w:rPr>
      </w:pPr>
    </w:p>
    <w:p w:rsidR="009D3B6A" w:rsidP="346B002E" w:rsidRDefault="009D3B6A" w14:paraId="55FDC4A2" w14:textId="77777777">
      <w:pPr>
        <w:pStyle w:val="paragraph"/>
        <w:spacing w:before="0" w:beforeAutospacing="0" w:after="0" w:afterAutospacing="0"/>
        <w:rPr>
          <w:rFonts w:asciiTheme="minorHAnsi" w:hAnsiTheme="minorHAnsi" w:eastAsiaTheme="minorEastAsia" w:cstheme="minorBidi"/>
          <w:color w:val="000000" w:themeColor="text1"/>
          <w:sz w:val="22"/>
          <w:szCs w:val="22"/>
        </w:rPr>
      </w:pPr>
    </w:p>
    <w:p w:rsidRPr="005D6A6B" w:rsidR="005D6A6B" w:rsidP="336EFAD4" w:rsidRDefault="336EFAD4" w14:paraId="46E73918" w14:textId="777B5B33">
      <w:pPr>
        <w:pStyle w:val="paragraph"/>
        <w:spacing w:before="0" w:beforeAutospacing="0" w:after="0" w:afterAutospacing="0"/>
        <w:textAlignment w:val="baseline"/>
        <w:rPr>
          <w:rFonts w:asciiTheme="minorHAnsi" w:hAnsiTheme="minorHAnsi" w:eastAsiaTheme="minorEastAsia" w:cstheme="minorBidi"/>
          <w:i/>
          <w:iCs/>
          <w:color w:val="000000" w:themeColor="text1"/>
          <w:sz w:val="22"/>
          <w:szCs w:val="22"/>
        </w:rPr>
      </w:pPr>
      <w:r w:rsidRPr="1B29677D" w:rsidR="1B29677D">
        <w:rPr>
          <w:rFonts w:ascii="Calibri" w:hAnsi="Calibri" w:eastAsia="" w:cs="" w:asciiTheme="minorAscii" w:hAnsiTheme="minorAscii" w:eastAsiaTheme="minorEastAsia" w:cstheme="minorBidi"/>
          <w:b w:val="1"/>
          <w:bCs w:val="1"/>
          <w:color w:val="000000" w:themeColor="text1" w:themeTint="FF" w:themeShade="FF"/>
          <w:sz w:val="22"/>
          <w:szCs w:val="22"/>
          <w:u w:val="single"/>
        </w:rPr>
        <w:t xml:space="preserve">Full Synopsis </w:t>
      </w:r>
      <w:r w:rsidRPr="1B29677D" w:rsidR="1B29677D">
        <w:rPr>
          <w:rFonts w:ascii="Calibri" w:hAnsi="Calibri" w:eastAsia="" w:cs="" w:asciiTheme="minorAscii" w:hAnsiTheme="minorAscii" w:eastAsiaTheme="minorEastAsia" w:cstheme="minorBidi"/>
          <w:i w:val="1"/>
          <w:iCs w:val="1"/>
          <w:color w:val="000000" w:themeColor="text1" w:themeTint="FF" w:themeShade="FF"/>
          <w:sz w:val="22"/>
          <w:szCs w:val="22"/>
        </w:rPr>
        <w:t>(1,000 characters):</w:t>
      </w:r>
    </w:p>
    <w:p w:rsidR="00D6761A" w:rsidP="1B29677D" w:rsidRDefault="00D6761A" w14:paraId="4B75540B" w14:textId="48DDB1B0">
      <w:pPr>
        <w:pStyle w:val="xmsonormal"/>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29677D" w:rsidR="1B29677D">
        <w:rPr>
          <w:rFonts w:ascii="Calibri" w:hAnsi="Calibri" w:eastAsia="Calibri" w:cs="Calibri"/>
          <w:b w:val="0"/>
          <w:bCs w:val="0"/>
          <w:i w:val="0"/>
          <w:iCs w:val="0"/>
          <w:caps w:val="0"/>
          <w:smallCaps w:val="0"/>
          <w:noProof w:val="0"/>
          <w:color w:val="000000" w:themeColor="text1" w:themeTint="FF" w:themeShade="FF"/>
          <w:sz w:val="22"/>
          <w:szCs w:val="22"/>
          <w:lang w:val="en-US"/>
        </w:rPr>
        <w:t>The Apocalypse of St. John invites viewers on an epic journey through the visions revealed to the Apostle John on Patmos. This cinematic experience brings the Book of Revelation to life through striking visuals, immersive sound, and powerful dramatizations that draw audiences deep into the apocalyptic narrative.</w:t>
      </w:r>
    </w:p>
    <w:p w:rsidR="00D6761A" w:rsidP="1B29677D" w:rsidRDefault="00D6761A" w14:paraId="1FBA6174" w14:textId="2A4791C8">
      <w:pPr>
        <w:pStyle w:val="xmsonormal"/>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29677D" w:rsidR="1B29677D">
        <w:rPr>
          <w:rFonts w:ascii="Calibri" w:hAnsi="Calibri" w:eastAsia="Calibri" w:cs="Calibri"/>
          <w:b w:val="0"/>
          <w:bCs w:val="0"/>
          <w:i w:val="0"/>
          <w:iCs w:val="0"/>
          <w:caps w:val="0"/>
          <w:smallCaps w:val="0"/>
          <w:noProof w:val="0"/>
          <w:color w:val="000000" w:themeColor="text1" w:themeTint="FF" w:themeShade="FF"/>
          <w:sz w:val="22"/>
          <w:szCs w:val="22"/>
          <w:lang w:val="en-US"/>
        </w:rPr>
        <w:t>Beyond its spectacle, the film offers clear and engaging explanations of each vision, illuminating their theological meaning through the lens of ancient Christian tradition. It presents Revelation not as distant symbolism, but as a living prophecy with profound relevance for our age. Blending drama, documentary insight, and faithful exegesis, the film guides viewers through the mysteries of the End Times and the great spiritual battle at the heart of the prophecy.</w:t>
      </w:r>
    </w:p>
    <w:p w:rsidR="00D6761A" w:rsidP="1B29677D" w:rsidRDefault="00D6761A" w14:paraId="1320632B" w14:textId="2112E9E7">
      <w:pPr>
        <w:pStyle w:val="xmsonormal"/>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29677D" w:rsidR="1B29677D">
        <w:rPr>
          <w:rFonts w:ascii="Calibri" w:hAnsi="Calibri" w:eastAsia="Calibri" w:cs="Calibri"/>
          <w:b w:val="0"/>
          <w:bCs w:val="0"/>
          <w:i w:val="0"/>
          <w:iCs w:val="0"/>
          <w:caps w:val="0"/>
          <w:smallCaps w:val="0"/>
          <w:noProof w:val="0"/>
          <w:color w:val="000000" w:themeColor="text1" w:themeTint="FF" w:themeShade="FF"/>
          <w:sz w:val="22"/>
          <w:szCs w:val="22"/>
          <w:lang w:val="en-US"/>
        </w:rPr>
        <w:t>Prepare to witness the true Apocalypse as never before.</w:t>
      </w:r>
    </w:p>
    <w:p w:rsidR="00D6761A" w:rsidP="346B002E" w:rsidRDefault="00D6761A" w14:paraId="4C92830A" w14:textId="105E88BF"/>
    <w:sectPr w:rsidR="00D6761A">
      <w:headerReference w:type="default" r:id="rId10"/>
      <w:pgSz w:w="12240" w:h="15840" w:orient="portrait"/>
      <w:pgMar w:top="1440" w:right="1440" w:bottom="1440" w:left="1440" w:header="720" w:footer="720" w:gutter="0"/>
      <w:cols w:space="720"/>
      <w:docGrid w:linePitch="360"/>
      <w:footerReference w:type="default" r:id="R58b58d07cc4b47a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5EF" w:rsidP="002E5666" w:rsidRDefault="00C115EF" w14:paraId="1C1747FC" w14:textId="77777777">
      <w:pPr>
        <w:spacing w:after="0" w:line="240" w:lineRule="auto"/>
      </w:pPr>
      <w:r>
        <w:separator/>
      </w:r>
    </w:p>
  </w:endnote>
  <w:endnote w:type="continuationSeparator" w:id="0">
    <w:p w:rsidR="00C115EF" w:rsidP="002E5666" w:rsidRDefault="00C115EF" w14:paraId="3034B8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B62ED2" w:rsidTr="39B62ED2" w14:paraId="74FFBB2C">
      <w:trPr>
        <w:trHeight w:val="300"/>
      </w:trPr>
      <w:tc>
        <w:tcPr>
          <w:tcW w:w="3120" w:type="dxa"/>
          <w:tcMar/>
        </w:tcPr>
        <w:p w:rsidR="39B62ED2" w:rsidP="39B62ED2" w:rsidRDefault="39B62ED2" w14:paraId="092FD085" w14:textId="2CF4CCA2">
          <w:pPr>
            <w:pStyle w:val="Header"/>
            <w:bidi w:val="0"/>
            <w:ind w:left="-115"/>
            <w:jc w:val="left"/>
          </w:pPr>
        </w:p>
      </w:tc>
      <w:tc>
        <w:tcPr>
          <w:tcW w:w="3120" w:type="dxa"/>
          <w:tcMar/>
        </w:tcPr>
        <w:p w:rsidR="39B62ED2" w:rsidP="39B62ED2" w:rsidRDefault="39B62ED2" w14:paraId="572533B7" w14:textId="79FE7203">
          <w:pPr>
            <w:pStyle w:val="Header"/>
            <w:bidi w:val="0"/>
            <w:jc w:val="center"/>
          </w:pPr>
        </w:p>
      </w:tc>
      <w:tc>
        <w:tcPr>
          <w:tcW w:w="3120" w:type="dxa"/>
          <w:tcMar/>
        </w:tcPr>
        <w:p w:rsidR="39B62ED2" w:rsidP="39B62ED2" w:rsidRDefault="39B62ED2" w14:paraId="0A67DF90" w14:textId="2B5F1A2B">
          <w:pPr>
            <w:pStyle w:val="Header"/>
            <w:bidi w:val="0"/>
            <w:ind w:right="-115"/>
            <w:jc w:val="right"/>
          </w:pPr>
        </w:p>
      </w:tc>
    </w:tr>
  </w:tbl>
  <w:p w:rsidR="39B62ED2" w:rsidP="39B62ED2" w:rsidRDefault="39B62ED2" w14:paraId="50E390D6" w14:textId="2A97CFD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5EF" w:rsidP="002E5666" w:rsidRDefault="00C115EF" w14:paraId="25CEE202" w14:textId="77777777">
      <w:pPr>
        <w:spacing w:after="0" w:line="240" w:lineRule="auto"/>
      </w:pPr>
      <w:r>
        <w:separator/>
      </w:r>
    </w:p>
  </w:footnote>
  <w:footnote w:type="continuationSeparator" w:id="0">
    <w:p w:rsidR="00C115EF" w:rsidP="002E5666" w:rsidRDefault="00C115EF" w14:paraId="696174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E5666" w:rsidP="002E5666" w:rsidRDefault="002E5666" w14:paraId="61FB8DE1" w14:textId="0224E925">
    <w:pPr>
      <w:pStyle w:val="Header"/>
      <w:jc w:val="center"/>
    </w:pPr>
    <w:r>
      <w:drawing>
        <wp:inline wp14:editId="3F82C386" wp14:anchorId="36FAD398">
          <wp:extent cx="2014104" cy="497071"/>
          <wp:effectExtent l="0" t="0" r="0" b="0"/>
          <wp:docPr id="490643387" name="" title=""/>
          <wp:cNvGraphicFramePr>
            <a:graphicFrameLocks noChangeAspect="1"/>
          </wp:cNvGraphicFramePr>
          <a:graphic>
            <a:graphicData uri="http://schemas.openxmlformats.org/drawingml/2006/picture">
              <pic:pic>
                <pic:nvPicPr>
                  <pic:cNvPr id="0" name=""/>
                  <pic:cNvPicPr/>
                </pic:nvPicPr>
                <pic:blipFill>
                  <a:blip r:embed="R99c8ee9f50654448">
                    <a:extLst>
                      <a:ext xmlns:a="http://schemas.openxmlformats.org/drawingml/2006/main" uri="{28A0092B-C50C-407E-A947-70E740481C1C}">
                        <a14:useLocalDpi val="0"/>
                      </a:ext>
                    </a:extLst>
                  </a:blip>
                  <a:stretch>
                    <a:fillRect/>
                  </a:stretch>
                </pic:blipFill>
                <pic:spPr>
                  <a:xfrm>
                    <a:off x="0" y="0"/>
                    <a:ext cx="2014104" cy="497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1c69f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0533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e855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2B6CD7"/>
    <w:multiLevelType w:val="multilevel"/>
    <w:tmpl w:val="AB847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FC2CBF"/>
    <w:multiLevelType w:val="multilevel"/>
    <w:tmpl w:val="B53098D6"/>
    <w:lvl w:ilvl="0">
      <w:start w:val="1"/>
      <w:numFmt w:val="bullet"/>
      <w:lvlText w:val=""/>
      <w:lvlJc w:val="left"/>
      <w:pPr>
        <w:tabs>
          <w:tab w:val="num" w:pos="1440"/>
        </w:tabs>
        <w:ind w:left="1440" w:hanging="360"/>
      </w:pPr>
      <w:rPr>
        <w:rFonts w:hint="default" w:ascii="Symbol" w:hAnsi="Symbol"/>
        <w:sz w:val="20"/>
      </w:rPr>
    </w:lvl>
    <w:lvl w:ilvl="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num w:numId="5">
    <w:abstractNumId w:val="4"/>
  </w:num>
  <w:num w:numId="4">
    <w:abstractNumId w:val="3"/>
  </w:num>
  <w:num w:numId="3">
    <w:abstractNumId w:val="2"/>
  </w:num>
  <w:num w:numId="1" w16cid:durableId="235015199">
    <w:abstractNumId w:val="0"/>
  </w:num>
  <w:num w:numId="2" w16cid:durableId="64941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B"/>
    <w:rsid w:val="00026BBB"/>
    <w:rsid w:val="000A517A"/>
    <w:rsid w:val="001E24EF"/>
    <w:rsid w:val="0022572C"/>
    <w:rsid w:val="002E5666"/>
    <w:rsid w:val="002E5A8E"/>
    <w:rsid w:val="00306A5B"/>
    <w:rsid w:val="00315367"/>
    <w:rsid w:val="00350B0E"/>
    <w:rsid w:val="003551A3"/>
    <w:rsid w:val="004100A0"/>
    <w:rsid w:val="004C0609"/>
    <w:rsid w:val="004C6C75"/>
    <w:rsid w:val="004E4FE8"/>
    <w:rsid w:val="005D6A6B"/>
    <w:rsid w:val="00607660"/>
    <w:rsid w:val="006527A2"/>
    <w:rsid w:val="00710403"/>
    <w:rsid w:val="00713788"/>
    <w:rsid w:val="007D2AF4"/>
    <w:rsid w:val="00881A73"/>
    <w:rsid w:val="008F0F3D"/>
    <w:rsid w:val="00931CD2"/>
    <w:rsid w:val="009D3B6A"/>
    <w:rsid w:val="009F7F43"/>
    <w:rsid w:val="00A2063D"/>
    <w:rsid w:val="00A21C20"/>
    <w:rsid w:val="00A6361F"/>
    <w:rsid w:val="00A76F72"/>
    <w:rsid w:val="00C04014"/>
    <w:rsid w:val="00C115EF"/>
    <w:rsid w:val="00C322D4"/>
    <w:rsid w:val="00C47C49"/>
    <w:rsid w:val="00C84FD3"/>
    <w:rsid w:val="00C86167"/>
    <w:rsid w:val="00D13F6C"/>
    <w:rsid w:val="00D30D9B"/>
    <w:rsid w:val="00D6761A"/>
    <w:rsid w:val="00DD4A65"/>
    <w:rsid w:val="00E71AC3"/>
    <w:rsid w:val="00F06562"/>
    <w:rsid w:val="00FA00C4"/>
    <w:rsid w:val="11BA1F91"/>
    <w:rsid w:val="1B29677D"/>
    <w:rsid w:val="2BCFDBAE"/>
    <w:rsid w:val="336EFAD4"/>
    <w:rsid w:val="33A38A4B"/>
    <w:rsid w:val="346B002E"/>
    <w:rsid w:val="39B62ED2"/>
    <w:rsid w:val="4C70CFC8"/>
    <w:rsid w:val="60049713"/>
    <w:rsid w:val="798D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BC0F"/>
  <w15:chartTrackingRefBased/>
  <w15:docId w15:val="{517376C9-EFF5-460F-827F-B75E19B1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D6A6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D6A6B"/>
  </w:style>
  <w:style w:type="character" w:styleId="eop" w:customStyle="1">
    <w:name w:val="eop"/>
    <w:basedOn w:val="DefaultParagraphFont"/>
    <w:rsid w:val="005D6A6B"/>
  </w:style>
  <w:style w:type="paragraph" w:styleId="Header">
    <w:name w:val="header"/>
    <w:basedOn w:val="Normal"/>
    <w:link w:val="HeaderChar"/>
    <w:uiPriority w:val="99"/>
    <w:unhideWhenUsed/>
    <w:rsid w:val="002E56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5666"/>
  </w:style>
  <w:style w:type="paragraph" w:styleId="Footer">
    <w:name w:val="footer"/>
    <w:basedOn w:val="Normal"/>
    <w:link w:val="FooterChar"/>
    <w:uiPriority w:val="99"/>
    <w:unhideWhenUsed/>
    <w:rsid w:val="002E56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5666"/>
  </w:style>
  <w:style w:type="paragraph" w:styleId="xmsonormal" w:customStyle="1">
    <w:name w:val="x_msonormal"/>
    <w:basedOn w:val="Normal"/>
    <w:uiPriority w:val="1"/>
    <w:rsid w:val="346B002E"/>
    <w:rPr>
      <w:rFonts w:ascii="Calibri" w:hAnsi="Calibri" w:cs="Calibri" w:eastAsiaTheme="minorEastAsi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33A38A4B"/>
    <w:rPr>
      <w:color w:val="0563C1"/>
      <w:u w:val="single"/>
    </w:rPr>
  </w:style>
  <w:style w:type="paragraph" w:styleId="ListParagraph">
    <w:uiPriority w:val="34"/>
    <w:name w:val="List Paragraph"/>
    <w:basedOn w:val="Normal"/>
    <w:qFormat/>
    <w:rsid w:val="33A38A4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8b58d07cc4b47a5" /><Relationship Type="http://schemas.openxmlformats.org/officeDocument/2006/relationships/hyperlink" Target="https://www.imdb.com/name/nm2076601/?ref_=tt_ov_2_1" TargetMode="External" Id="Rb558e8f31beb42e2" /><Relationship Type="http://schemas.openxmlformats.org/officeDocument/2006/relationships/hyperlink" Target="https://www.imdb.com/name/nm2076601/?ref_=tt_ov_2_1" TargetMode="External" Id="Rf23c0bb5b0f14190" /><Relationship Type="http://schemas.openxmlformats.org/officeDocument/2006/relationships/hyperlink" Target="https://www.imdb.com/name/nm15836603/?ref_=tt_ov_3_2" TargetMode="External" Id="R451f2444cb4349e4" /><Relationship Type="http://schemas.openxmlformats.org/officeDocument/2006/relationships/hyperlink" Target="https://www.imdb.com/name/nm15836604/?ref_=tt_ov_3_3" TargetMode="External" Id="Rce18301ba8764f3e" /></Relationships>
</file>

<file path=word/_rels/header1.xml.rels>&#65279;<?xml version="1.0" encoding="utf-8"?><Relationships xmlns="http://schemas.openxmlformats.org/package/2006/relationships"><Relationship Type="http://schemas.openxmlformats.org/officeDocument/2006/relationships/image" Target="/media/image2.png" Id="R99c8ee9f506544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6F0594C15041A0F917735C0F37B8" ma:contentTypeVersion="12" ma:contentTypeDescription="Create a new document." ma:contentTypeScope="" ma:versionID="b342cf8458532b6b344669ab88b885e3">
  <xsd:schema xmlns:xsd="http://www.w3.org/2001/XMLSchema" xmlns:xs="http://www.w3.org/2001/XMLSchema" xmlns:p="http://schemas.microsoft.com/office/2006/metadata/properties" xmlns:ns3="a7b17900-53b3-4df8-ac34-f72ab692027a" xmlns:ns4="257ce53d-ec1d-444b-81b1-c3d9ccf8ad98" targetNamespace="http://schemas.microsoft.com/office/2006/metadata/properties" ma:root="true" ma:fieldsID="122d84b5f59e8e55278e4aeb3160fd55" ns3:_="" ns4:_="">
    <xsd:import namespace="a7b17900-53b3-4df8-ac34-f72ab692027a"/>
    <xsd:import namespace="257ce53d-ec1d-444b-81b1-c3d9ccf8a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17900-53b3-4df8-ac34-f72ab6920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ce53d-ec1d-444b-81b1-c3d9ccf8a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b17900-53b3-4df8-ac34-f72ab692027a" xsi:nil="true"/>
  </documentManagement>
</p:properties>
</file>

<file path=customXml/itemProps1.xml><?xml version="1.0" encoding="utf-8"?>
<ds:datastoreItem xmlns:ds="http://schemas.openxmlformats.org/officeDocument/2006/customXml" ds:itemID="{B32E7F62-2121-41E9-91D5-B24341611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17900-53b3-4df8-ac34-f72ab692027a"/>
    <ds:schemaRef ds:uri="257ce53d-ec1d-444b-81b1-c3d9ccf8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1ED8-5D44-4773-9B4C-7A703FF93CCB}">
  <ds:schemaRefs>
    <ds:schemaRef ds:uri="http://schemas.microsoft.com/sharepoint/v3/contenttype/forms"/>
  </ds:schemaRefs>
</ds:datastoreItem>
</file>

<file path=customXml/itemProps3.xml><?xml version="1.0" encoding="utf-8"?>
<ds:datastoreItem xmlns:ds="http://schemas.openxmlformats.org/officeDocument/2006/customXml" ds:itemID="{E299E1F0-248C-4846-9AFF-942A67CB2F53}">
  <ds:schemaRefs>
    <ds:schemaRef ds:uri="http://schemas.microsoft.com/office/2006/metadata/properties"/>
    <ds:schemaRef ds:uri="http://schemas.microsoft.com/office/infopath/2007/PartnerControls"/>
    <ds:schemaRef ds:uri="a7b17900-53b3-4df8-ac34-f72ab69202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Fathom Temp</dc:creator>
  <keywords/>
  <dc:description/>
  <lastModifiedBy>Carlos De La Torre</lastModifiedBy>
  <revision>8</revision>
  <dcterms:created xsi:type="dcterms:W3CDTF">2023-03-29T16:43:00.0000000Z</dcterms:created>
  <dcterms:modified xsi:type="dcterms:W3CDTF">2025-12-22T16:32:29.9463821Z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0x010100D6306F0594C15041A0F917735C0F37B8</vt:lpwstr>
  </property>
</Properties>
</file>